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69"/>
        <w:gridCol w:w="2721"/>
      </w:tblGrid>
      <w:tr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073C0"/>
                <w:sz w:val="36"/>
              </w:rPr>
              <w:t>ELRA BUSINESS OWNER'S IMPLEMENTATION TRACKER</w:t>
            </w:r>
          </w:p>
          <w:p>
            <w:pPr>
              <w:spacing w:before="40" w:after="0"/>
            </w:pPr>
            <w:r>
              <w:rPr>
                <w:b/>
                <w:color w:val="FF9027"/>
                <w:sz w:val="21"/>
              </w:rPr>
              <w:t>Urgent action checklist</w:t>
            </w:r>
          </w:p>
          <w:p>
            <w:pPr>
              <w:spacing w:before="20" w:after="0"/>
            </w:pPr>
            <w:r>
              <w:rPr>
                <w:color w:val="25313C"/>
                <w:sz w:val="17"/>
              </w:rPr>
              <w:t>Assign responsibility, set deadlines, track progress and retain evidence of implementation.</w:t>
            </w:r>
          </w:p>
        </w:tc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34000" cy="95063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emeire - 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000" cy="950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40" w:after="60"/>
        <w:pBdr>
          <w:bottom w:val="single" w:sz="18" w:space="1" w:color="FF9027"/>
        </w:pBdr>
      </w:pPr>
    </w:p>
    <w:p>
      <w:pPr>
        <w:spacing w:before="0" w:after="100"/>
      </w:pPr>
      <w:r>
        <w:rPr>
          <w:b/>
          <w:color w:val="25313C"/>
          <w:sz w:val="15"/>
        </w:rPr>
        <w:t xml:space="preserve">STATUS GUIDE   </w:t>
      </w:r>
      <w:r>
        <w:rPr>
          <w:b/>
          <w:color w:val="8B949E"/>
          <w:sz w:val="15"/>
        </w:rPr>
        <w:t xml:space="preserve">  Not started  </w:t>
      </w:r>
      <w:r>
        <w:rPr>
          <w:b/>
          <w:color w:val="FF9027"/>
          <w:sz w:val="15"/>
        </w:rPr>
        <w:t xml:space="preserve">  In progress  </w:t>
      </w:r>
      <w:r>
        <w:rPr>
          <w:b/>
          <w:color w:val="0073C0"/>
          <w:sz w:val="15"/>
        </w:rPr>
        <w:t xml:space="preserve">  Complete  </w:t>
      </w:r>
      <w:r>
        <w:rPr>
          <w:b/>
          <w:color w:val="4B5563"/>
          <w:sz w:val="15"/>
        </w:rPr>
        <w:t xml:space="preserve">  Blocked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7"/>
        <w:gridCol w:w="3107"/>
        <w:gridCol w:w="3107"/>
        <w:gridCol w:w="3107"/>
        <w:gridCol w:w="3107"/>
      </w:tblGrid>
      <w:tr>
        <w:trPr>
          <w:tblHeader w:val="true"/>
        </w:trPr>
        <w:tc>
          <w:tcPr>
            <w:tcW w:type="dxa" w:w="5443"/>
            <w:shd w:fill="0073C0"/>
            <w:vAlign w:val="center"/>
            <w:tcMar>
              <w:top w:w="105" w:type="dxa"/>
              <w:start w:w="105" w:type="dxa"/>
              <w:bottom w:w="105" w:type="dxa"/>
              <w:end w:w="10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ACTION / COMPLIANCE REQUIREMENT</w:t>
            </w:r>
          </w:p>
        </w:tc>
        <w:tc>
          <w:tcPr>
            <w:tcW w:type="dxa" w:w="1814"/>
            <w:shd w:fill="0073C0"/>
            <w:vAlign w:val="center"/>
            <w:tcMar>
              <w:top w:w="105" w:type="dxa"/>
              <w:start w:w="105" w:type="dxa"/>
              <w:bottom w:w="105" w:type="dxa"/>
              <w:end w:w="10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757"/>
            <w:shd w:fill="0073C0"/>
            <w:vAlign w:val="center"/>
            <w:tcMar>
              <w:top w:w="105" w:type="dxa"/>
              <w:start w:w="105" w:type="dxa"/>
              <w:bottom w:w="105" w:type="dxa"/>
              <w:end w:w="10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DEADLINE</w:t>
            </w:r>
          </w:p>
        </w:tc>
        <w:tc>
          <w:tcPr>
            <w:tcW w:type="dxa" w:w="1871"/>
            <w:shd w:fill="0073C0"/>
            <w:vAlign w:val="center"/>
            <w:tcMar>
              <w:top w:w="105" w:type="dxa"/>
              <w:start w:w="105" w:type="dxa"/>
              <w:bottom w:w="105" w:type="dxa"/>
              <w:end w:w="10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4649"/>
            <w:shd w:fill="0073C0"/>
            <w:vAlign w:val="center"/>
            <w:tcMar>
              <w:top w:w="105" w:type="dxa"/>
              <w:start w:w="105" w:type="dxa"/>
              <w:bottom w:w="105" w:type="dxa"/>
              <w:end w:w="10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EVIDENCE REQUIRED / TO RETAIN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1. Assign ownership for ELRA compliance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Nominate a senior person to coordinate the employment-law review, track decisions and keep evidence of progress.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Appointment memo/email naming the ELRA compliance lead; implementation tracker; meeting/action records.</w:t>
            </w:r>
          </w:p>
        </w:tc>
      </w:tr>
      <w:tr>
        <w:trPr>
          <w:cantSplit/>
        </w:trPr>
        <w:tc>
          <w:tcPr>
            <w:tcW w:type="dxa" w:w="5443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2. Review all employment contracts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Check permanent, fixed-term, probation, contractor and consultant arrangements against the new Act and Regulations.</w:t>
            </w:r>
          </w:p>
        </w:tc>
        <w:tc>
          <w:tcPr>
            <w:tcW w:type="dxa" w:w="1814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Master contract register; reviewed contract copies or review notes; issues/remediation log.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3. Identify high-risk fixed-term contracts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List contracts exceeding or approaching 12 months, repeated renewals and roles that appear permanent in substance.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Fixed-term contract register; start/end dates and renewal history; list of flagged roles/contracts.</w:t>
            </w:r>
          </w:p>
        </w:tc>
      </w:tr>
      <w:tr>
        <w:trPr>
          <w:cantSplit/>
        </w:trPr>
        <w:tc>
          <w:tcPr>
            <w:tcW w:type="dxa" w:w="5443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4. Document objective reasons for fixed-term arrangements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Record why each fixed-term role is genuinely temporary and keep supporting evidence.</w:t>
            </w:r>
          </w:p>
        </w:tc>
        <w:tc>
          <w:tcPr>
            <w:tcW w:type="dxa" w:w="1814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Written objective justification for each fixed-term role; supporting project/business documents; approval record.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5. Formalise probation management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Set written expectations, schedule reviews, document feedback and keep records of any support or performance concerns.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Written expectations; review schedule; feedback/training records; support or performance-improvement records.</w:t>
            </w:r>
          </w:p>
        </w:tc>
      </w:tr>
      <w:tr>
        <w:trPr>
          <w:cantSplit/>
        </w:trPr>
        <w:tc>
          <w:tcPr>
            <w:tcW w:type="dxa" w:w="5443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6. Check disciplinary and termination procedures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Ensure managers follow a fair process and keep records from investigation through to decision.</w:t>
            </w:r>
          </w:p>
        </w:tc>
        <w:tc>
          <w:tcPr>
            <w:tcW w:type="dxa" w:w="1814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Disciplinary procedure/checklist; investigation records; notices and employee responses; decision/outcome records.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7. Review payroll, leave and benefits immediately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Confirm maternity, paternity, adoption, sick leave, family responsibility leave, deductions, allowances and overtime rules are correctly reflected in payroll and HR systems.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Payroll/HR system review; leave and benefits matrix; payroll test/audit results; record of system corrections or approvals.</w:t>
            </w:r>
          </w:p>
        </w:tc>
      </w:tr>
      <w:tr>
        <w:trPr>
          <w:cantSplit/>
        </w:trPr>
        <w:tc>
          <w:tcPr>
            <w:tcW w:type="dxa" w:w="5443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8. Prepare retrenchment procedures before they are needed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Ensure the business can evidence the commercial rationale, consultation process, selection criteria and required financial information.</w:t>
            </w:r>
          </w:p>
        </w:tc>
        <w:tc>
          <w:tcPr>
            <w:tcW w:type="dxa" w:w="1814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Restructuring business case; alternatives considered; consultation/notification records; selection criteria; required financial information.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9. Update workplace complaint procedures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Put clear steps in place for harassment, discrimination and retaliation complaints, including escalation, investigation and outcome records.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Updated complaint procedure; escalation process; investigation templates/records; outcome and retaliation-protection records.</w:t>
            </w:r>
          </w:p>
        </w:tc>
      </w:tr>
      <w:tr>
        <w:trPr>
          <w:cantSplit/>
        </w:trPr>
        <w:tc>
          <w:tcPr>
            <w:tcW w:type="dxa" w:w="5443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10. Audit employment records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Confirm that required records under Schedule 4 and Regulation 12 are complete, current, securely maintained and accessible when required.</w:t>
            </w:r>
          </w:p>
        </w:tc>
        <w:tc>
          <w:tcPr>
            <w:tcW w:type="dxa" w:w="1814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Completed records audit/checklist; Schedule 4 and Regulation 12 record inventory; gap log; evidence of secure storage and accessibility.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11. Control access to employee information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Align HR record-keeping with data protection requirements and limit access to those who need it for legitimate business purposes.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Access permissions/register; role-based access list; employee-data handling procedure; periodic access-review records.</w:t>
            </w:r>
          </w:p>
        </w:tc>
      </w:tr>
      <w:tr>
        <w:trPr>
          <w:cantSplit/>
        </w:trPr>
        <w:tc>
          <w:tcPr>
            <w:tcW w:type="dxa" w:w="5443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12. Train managers quickly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Give managers practical guidance on probation, discipline, complaints, fixed-term contracts, contractors and required documentation.</w:t>
            </w:r>
          </w:p>
        </w:tc>
        <w:tc>
          <w:tcPr>
            <w:tcW w:type="dxa" w:w="1814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EAF4FB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Training materials; attendance register; manager guidance notes; completion or acknowledgement records.</w:t>
            </w:r>
          </w:p>
        </w:tc>
      </w:tr>
      <w:tr>
        <w:trPr>
          <w:cantSplit/>
        </w:trPr>
        <w:tc>
          <w:tcPr>
            <w:tcW w:type="dxa" w:w="5443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20"/>
            </w:pPr>
            <w:r>
              <w:rPr>
                <w:b/>
                <w:color w:val="0073C0"/>
                <w:sz w:val="17"/>
              </w:rPr>
              <w:t>13. Align HR records with data protection</w:t>
            </w:r>
          </w:p>
          <w:p>
            <w:pPr>
              <w:spacing w:before="0" w:after="0"/>
            </w:pPr>
            <w:r>
              <w:rPr>
                <w:color w:val="25313C"/>
                <w:sz w:val="15"/>
              </w:rPr>
              <w:t>Employment records contain personal information. Ensure that the business meets its employment-law record-keeping obligations while also complying with the Data Protection Act, 2024.</w:t>
            </w:r>
          </w:p>
        </w:tc>
        <w:tc>
          <w:tcPr>
            <w:tcW w:type="dxa" w:w="1814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Name / role</w:t>
            </w:r>
          </w:p>
        </w:tc>
        <w:tc>
          <w:tcPr>
            <w:tcW w:type="dxa" w:w="1757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i/>
                <w:color w:val="8C949C"/>
                <w:sz w:val="15"/>
              </w:rPr>
              <w:t>DD/MM/YYYY</w:t>
            </w:r>
          </w:p>
        </w:tc>
        <w:tc>
          <w:tcPr>
            <w:tcW w:type="dxa" w:w="1871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jc w:val="center"/>
            </w:pPr>
            <w:r>
              <w:rPr>
                <w:b/>
                <w:color w:val="6E767E"/>
                <w:sz w:val="15"/>
              </w:rPr>
              <w:t>Not started</w:t>
            </w:r>
          </w:p>
        </w:tc>
        <w:tc>
          <w:tcPr>
            <w:tcW w:type="dxa" w:w="4649"/>
            <w:shd w:fill="FFFFFF"/>
            <w:vAlign w:val="top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DEE2"/>
              <w:left w:val="single" w:sz="4" w:color="D9DEE2"/>
              <w:bottom w:val="single" w:sz="4" w:color="D9DEE2"/>
              <w:right w:val="single" w:sz="4" w:color="D9DEE2"/>
            </w:tcBorders>
          </w:tcPr>
          <w:p>
            <w:pPr>
              <w:spacing w:after="0"/>
            </w:pPr>
            <w:r>
              <w:rPr>
                <w:color w:val="25313C"/>
                <w:sz w:val="15"/>
              </w:rPr>
              <w:t>HR data/records map; retention and access rules; privacy/data-protection procedure; compliance review record.</w:t>
            </w:r>
          </w:p>
        </w:tc>
      </w:tr>
    </w:tbl>
    <w:p>
      <w:pPr>
        <w:spacing w:before="100" w:after="0"/>
      </w:pPr>
      <w:r>
        <w:rPr>
          <w:b/>
          <w:color w:val="FF9027"/>
          <w:sz w:val="14"/>
        </w:rPr>
        <w:t xml:space="preserve">Implementation note: </w:t>
      </w:r>
      <w:r>
        <w:rPr>
          <w:color w:val="25313C"/>
          <w:sz w:val="14"/>
        </w:rPr>
        <w:t>The evidence column translates the checklist into practical records to retain. Adapt it to your organisation's processes and legal advice where necessary.</w:t>
      </w:r>
    </w:p>
    <w:sectPr w:rsidR="00FC693F" w:rsidRPr="0006063C" w:rsidSect="00034616">
      <w:footerReference w:type="default" r:id="rId10"/>
      <w:pgSz w:w="16838" w:h="11906" w:orient="landscape"/>
      <w:pgMar w:top="652" w:right="652" w:bottom="624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073C0"/>
        <w:sz w:val="15"/>
      </w:rPr>
      <w:t>Premiere | People First    •    395 2878    •    hr@premiere.co.bw    •    www.premiere.co.bw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5313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